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66" w:rsidRPr="00AC278E" w:rsidRDefault="00AE5C66" w:rsidP="00AE5C66">
      <w:pPr>
        <w:jc w:val="center"/>
        <w:rPr>
          <w:rFonts w:ascii="Arial" w:hAnsi="Arial" w:cs="Arial"/>
          <w:b/>
          <w:bCs/>
          <w:color w:val="5B9BD5" w:themeColor="accent1"/>
          <w:sz w:val="72"/>
        </w:rPr>
      </w:pPr>
      <w:bookmarkStart w:id="0" w:name="_GoBack"/>
      <w:bookmarkEnd w:id="0"/>
      <w:r w:rsidRPr="00AC278E">
        <w:rPr>
          <w:rFonts w:ascii="Arial" w:hAnsi="Arial" w:cs="Arial"/>
          <w:b/>
          <w:bCs/>
          <w:color w:val="5B9BD5" w:themeColor="accent1"/>
          <w:sz w:val="72"/>
        </w:rPr>
        <w:t>England Netball Safeguarding Adults</w:t>
      </w:r>
    </w:p>
    <w:p w:rsidR="00AE5C66" w:rsidRPr="00AC278E" w:rsidRDefault="00AE5C66" w:rsidP="00AE5C66">
      <w:pPr>
        <w:jc w:val="center"/>
        <w:rPr>
          <w:rFonts w:ascii="Arial" w:hAnsi="Arial" w:cs="Arial"/>
          <w:b/>
          <w:bCs/>
          <w:color w:val="5B9BD5" w:themeColor="accent1"/>
          <w:sz w:val="72"/>
        </w:rPr>
      </w:pPr>
    </w:p>
    <w:p w:rsidR="00AE5C66" w:rsidRPr="00AC278E" w:rsidRDefault="00AE5C66" w:rsidP="00AE5C66">
      <w:pPr>
        <w:jc w:val="center"/>
        <w:rPr>
          <w:rFonts w:ascii="Arial" w:hAnsi="Arial" w:cs="Arial"/>
          <w:b/>
          <w:bCs/>
          <w:color w:val="5B9BD5" w:themeColor="accent1"/>
          <w:sz w:val="72"/>
        </w:rPr>
      </w:pPr>
      <w:r w:rsidRPr="00AC278E">
        <w:rPr>
          <w:rFonts w:ascii="Arial" w:hAnsi="Arial" w:cs="Arial"/>
          <w:b/>
          <w:bCs/>
          <w:color w:val="5B9BD5" w:themeColor="accent1"/>
          <w:sz w:val="72"/>
        </w:rPr>
        <w:t>Guidance on Photography for Adults</w:t>
      </w:r>
    </w:p>
    <w:p w:rsidR="00AE5C66" w:rsidRPr="00AE5C66" w:rsidRDefault="00AE5C66">
      <w:pPr>
        <w:spacing w:after="160" w:line="259" w:lineRule="auto"/>
        <w:rPr>
          <w:rFonts w:ascii="Arial" w:hAnsi="Arial" w:cs="Arial"/>
          <w:b/>
          <w:bCs/>
          <w:sz w:val="72"/>
        </w:rPr>
      </w:pPr>
      <w:r w:rsidRPr="00AE5C66">
        <w:rPr>
          <w:rFonts w:ascii="Arial" w:hAnsi="Arial" w:cs="Arial"/>
          <w:b/>
          <w:bCs/>
          <w:sz w:val="72"/>
        </w:rPr>
        <w:br w:type="page"/>
      </w:r>
    </w:p>
    <w:p w:rsidR="00AE5C66" w:rsidRPr="00AE5C66" w:rsidRDefault="00AE5C66" w:rsidP="00AE5C66">
      <w:pPr>
        <w:rPr>
          <w:rFonts w:ascii="Arial" w:hAnsi="Arial" w:cs="Arial"/>
          <w:bCs/>
          <w:color w:val="5B9BD5" w:themeColor="accent1"/>
          <w:sz w:val="24"/>
          <w:szCs w:val="20"/>
        </w:rPr>
      </w:pPr>
      <w:r w:rsidRPr="00AE5C66">
        <w:rPr>
          <w:rFonts w:ascii="Arial" w:hAnsi="Arial" w:cs="Arial"/>
          <w:bCs/>
          <w:color w:val="5B9BD5" w:themeColor="accent1"/>
          <w:sz w:val="24"/>
          <w:szCs w:val="20"/>
        </w:rPr>
        <w:lastRenderedPageBreak/>
        <w:t>Photography Guidance for Adults</w:t>
      </w:r>
    </w:p>
    <w:p w:rsidR="00AE5C66" w:rsidRPr="00AE5C66" w:rsidRDefault="00AE5C66" w:rsidP="00AE5C66">
      <w:pPr>
        <w:rPr>
          <w:rFonts w:ascii="Arial" w:hAnsi="Arial" w:cs="Arial"/>
          <w:color w:val="5B9BD5" w:themeColor="accent1"/>
          <w:sz w:val="24"/>
          <w:szCs w:val="20"/>
        </w:rPr>
      </w:pPr>
      <w:r w:rsidRPr="00AE5C66">
        <w:rPr>
          <w:rFonts w:ascii="Arial" w:hAnsi="Arial" w:cs="Arial"/>
          <w:color w:val="5B9BD5" w:themeColor="accent1"/>
          <w:sz w:val="24"/>
          <w:szCs w:val="20"/>
        </w:rPr>
        <w:t>General images of events</w:t>
      </w:r>
    </w:p>
    <w:p w:rsidR="00AE5C66" w:rsidRPr="00AE5C66" w:rsidRDefault="00AE5C66" w:rsidP="00AE5C66">
      <w:pPr>
        <w:rPr>
          <w:rFonts w:ascii="Arial" w:hAnsi="Arial" w:cs="Arial"/>
          <w:sz w:val="20"/>
          <w:szCs w:val="20"/>
        </w:rPr>
      </w:pPr>
      <w:r w:rsidRPr="00AE5C66">
        <w:rPr>
          <w:rFonts w:ascii="Arial" w:hAnsi="Arial" w:cs="Arial"/>
          <w:sz w:val="20"/>
          <w:szCs w:val="20"/>
        </w:rPr>
        <w:t>There is no legal power to prevent photography or filming in a public place. However, certain individuals may visit sporting events to take inappropriate photographs or video footage of adults and this could include adults with care and support needs. All organisations should be vigilant about this possibility.</w:t>
      </w:r>
    </w:p>
    <w:p w:rsidR="00AE5C66" w:rsidRPr="00AE5C66" w:rsidRDefault="00AE5C66" w:rsidP="00AE5C66">
      <w:pPr>
        <w:rPr>
          <w:rFonts w:ascii="Arial" w:hAnsi="Arial" w:cs="Arial"/>
          <w:sz w:val="20"/>
          <w:szCs w:val="20"/>
        </w:rPr>
      </w:pPr>
      <w:r w:rsidRPr="00AE5C66">
        <w:rPr>
          <w:rFonts w:ascii="Arial" w:hAnsi="Arial" w:cs="Arial"/>
          <w:sz w:val="20"/>
          <w:szCs w:val="20"/>
        </w:rPr>
        <w:t>At many events organisers will take general images or footage of the event, the site, opening and closing ceremonies, and so on.</w:t>
      </w:r>
    </w:p>
    <w:p w:rsidR="00AE5C66" w:rsidRPr="00AE5C66" w:rsidRDefault="00AE5C66" w:rsidP="00AE5C66">
      <w:pPr>
        <w:rPr>
          <w:rFonts w:ascii="Arial" w:hAnsi="Arial" w:cs="Arial"/>
          <w:sz w:val="20"/>
          <w:szCs w:val="20"/>
        </w:rPr>
      </w:pPr>
      <w:r w:rsidRPr="00AE5C66">
        <w:rPr>
          <w:rFonts w:ascii="Arial" w:hAnsi="Arial" w:cs="Arial"/>
          <w:sz w:val="20"/>
          <w:szCs w:val="20"/>
        </w:rPr>
        <w:t>If you intend to be taking photographs or are filming at an event, it is good practice to inform people and ask them to let you know if they do not want to be involved.</w:t>
      </w:r>
    </w:p>
    <w:p w:rsidR="00AE5C66" w:rsidRPr="00AE5C66" w:rsidRDefault="00AE5C66" w:rsidP="00AE5C66">
      <w:pPr>
        <w:rPr>
          <w:rFonts w:ascii="Arial" w:hAnsi="Arial" w:cs="Arial"/>
          <w:sz w:val="20"/>
          <w:szCs w:val="20"/>
        </w:rPr>
      </w:pPr>
      <w:r w:rsidRPr="00AE5C66">
        <w:rPr>
          <w:rFonts w:ascii="Arial" w:hAnsi="Arial" w:cs="Arial"/>
          <w:sz w:val="20"/>
          <w:szCs w:val="20"/>
        </w:rPr>
        <w:t>Sometimes organisations want to use photos or films for specific usage, for example a press release, social media, leaflet or website. In the case of large group photos e.g. of a closing ceremony, you would not be expected to seek individual consent.</w:t>
      </w:r>
    </w:p>
    <w:p w:rsidR="00AE5C66" w:rsidRPr="00AE5C66" w:rsidRDefault="00AE5C66" w:rsidP="00AE5C66">
      <w:pPr>
        <w:rPr>
          <w:rFonts w:ascii="Arial" w:hAnsi="Arial" w:cs="Arial"/>
          <w:color w:val="000000" w:themeColor="text1"/>
          <w:sz w:val="20"/>
          <w:szCs w:val="20"/>
        </w:rPr>
      </w:pPr>
      <w:r w:rsidRPr="00AE5C66">
        <w:rPr>
          <w:rFonts w:ascii="Arial" w:hAnsi="Arial" w:cs="Arial"/>
          <w:color w:val="000000" w:themeColor="text1"/>
          <w:sz w:val="20"/>
          <w:szCs w:val="20"/>
        </w:rPr>
        <w:t>Consent for specific use of images</w:t>
      </w:r>
    </w:p>
    <w:p w:rsidR="00AE5C66" w:rsidRPr="00AE5C66" w:rsidRDefault="00AE5C66" w:rsidP="00AE5C66">
      <w:pPr>
        <w:rPr>
          <w:rFonts w:ascii="Arial" w:hAnsi="Arial" w:cs="Arial"/>
          <w:sz w:val="20"/>
          <w:szCs w:val="20"/>
        </w:rPr>
      </w:pPr>
      <w:r w:rsidRPr="00AE5C66">
        <w:rPr>
          <w:rFonts w:ascii="Arial" w:hAnsi="Arial" w:cs="Arial"/>
          <w:sz w:val="20"/>
          <w:szCs w:val="20"/>
        </w:rPr>
        <w:t>When an adult is the main subject or would be recognised, you should:</w:t>
      </w:r>
    </w:p>
    <w:p w:rsidR="00AE5C66" w:rsidRPr="00AE5C66" w:rsidRDefault="00AE5C66" w:rsidP="00AE5C66">
      <w:pPr>
        <w:pStyle w:val="ListParagraph"/>
        <w:numPr>
          <w:ilvl w:val="0"/>
          <w:numId w:val="33"/>
        </w:numPr>
        <w:spacing w:after="0" w:line="240" w:lineRule="auto"/>
        <w:rPr>
          <w:rFonts w:ascii="Arial" w:hAnsi="Arial" w:cs="Arial"/>
          <w:sz w:val="20"/>
          <w:szCs w:val="20"/>
        </w:rPr>
      </w:pPr>
      <w:r w:rsidRPr="00AE5C66">
        <w:rPr>
          <w:rFonts w:ascii="Arial" w:hAnsi="Arial" w:cs="Arial"/>
          <w:sz w:val="20"/>
          <w:szCs w:val="20"/>
        </w:rPr>
        <w:t>Seek specific consent from the adult, letting them know how exactly their image will be used. If they lack capacity to consent do not use their photo.</w:t>
      </w:r>
    </w:p>
    <w:p w:rsidR="00AE5C66" w:rsidRPr="00AE5C66" w:rsidRDefault="00AE5C66" w:rsidP="00AE5C66">
      <w:pPr>
        <w:pStyle w:val="ListParagraph"/>
        <w:numPr>
          <w:ilvl w:val="0"/>
          <w:numId w:val="33"/>
        </w:numPr>
        <w:spacing w:after="0" w:line="240" w:lineRule="auto"/>
        <w:rPr>
          <w:rFonts w:ascii="Arial" w:hAnsi="Arial" w:cs="Arial"/>
          <w:sz w:val="20"/>
          <w:szCs w:val="20"/>
        </w:rPr>
      </w:pPr>
      <w:r w:rsidRPr="00AE5C66">
        <w:rPr>
          <w:rFonts w:ascii="Arial" w:hAnsi="Arial" w:cs="Arial"/>
          <w:sz w:val="20"/>
          <w:szCs w:val="20"/>
        </w:rPr>
        <w:t>Before using any photographs or film footage for publicity purposes, show them to the person/people concerned for approval</w:t>
      </w:r>
    </w:p>
    <w:p w:rsidR="00AE5C66" w:rsidRPr="00AE5C66" w:rsidRDefault="00AE5C66" w:rsidP="00AE5C66">
      <w:pPr>
        <w:pStyle w:val="ListParagraph"/>
        <w:numPr>
          <w:ilvl w:val="0"/>
          <w:numId w:val="33"/>
        </w:numPr>
        <w:spacing w:after="0" w:line="240" w:lineRule="auto"/>
        <w:rPr>
          <w:rFonts w:ascii="Arial" w:hAnsi="Arial" w:cs="Arial"/>
          <w:sz w:val="20"/>
          <w:szCs w:val="20"/>
        </w:rPr>
      </w:pPr>
      <w:r w:rsidRPr="00AE5C66">
        <w:rPr>
          <w:rFonts w:ascii="Arial" w:hAnsi="Arial" w:cs="Arial"/>
          <w:sz w:val="20"/>
          <w:szCs w:val="20"/>
        </w:rPr>
        <w:t>Remember that consent for use of the photo or film is only for that one purpose and should not be reused in any other promotional event</w:t>
      </w:r>
    </w:p>
    <w:p w:rsidR="00AE5C66" w:rsidRPr="00AE5C66" w:rsidRDefault="00AE5C66" w:rsidP="00AE5C66">
      <w:pPr>
        <w:pStyle w:val="ListParagraph"/>
        <w:numPr>
          <w:ilvl w:val="0"/>
          <w:numId w:val="33"/>
        </w:numPr>
        <w:spacing w:after="0" w:line="240" w:lineRule="auto"/>
        <w:rPr>
          <w:rFonts w:ascii="Arial" w:hAnsi="Arial" w:cs="Arial"/>
          <w:sz w:val="20"/>
          <w:szCs w:val="20"/>
        </w:rPr>
      </w:pPr>
      <w:r w:rsidRPr="00AE5C66">
        <w:rPr>
          <w:rFonts w:ascii="Arial" w:hAnsi="Arial" w:cs="Arial"/>
          <w:sz w:val="20"/>
          <w:szCs w:val="20"/>
        </w:rPr>
        <w:t>Ensure that people have a way of withdrawing their consent for the use of their image</w:t>
      </w:r>
    </w:p>
    <w:p w:rsidR="00AE5C66" w:rsidRPr="00AE5C66" w:rsidRDefault="00AE5C66" w:rsidP="00AE5C66">
      <w:pPr>
        <w:pStyle w:val="ListParagraph"/>
        <w:numPr>
          <w:ilvl w:val="0"/>
          <w:numId w:val="33"/>
        </w:numPr>
        <w:spacing w:after="0" w:line="240" w:lineRule="auto"/>
        <w:rPr>
          <w:rFonts w:ascii="Arial" w:hAnsi="Arial" w:cs="Arial"/>
          <w:sz w:val="20"/>
          <w:szCs w:val="20"/>
        </w:rPr>
      </w:pPr>
      <w:r w:rsidRPr="00AE5C66">
        <w:rPr>
          <w:rFonts w:ascii="Arial" w:hAnsi="Arial" w:cs="Arial"/>
          <w:sz w:val="20"/>
          <w:szCs w:val="20"/>
        </w:rPr>
        <w:t>Think about the images that you are taking or filming and how they portray people. Consider whether people are appropriately dressed. For example even if the person has consented to having the picture taken consider if it may be better if they wore a t-shirt or track suit over a swim suit.</w:t>
      </w:r>
    </w:p>
    <w:p w:rsidR="00AE5C66" w:rsidRPr="00AE5C66" w:rsidRDefault="00AE5C66" w:rsidP="00AE5C66">
      <w:pPr>
        <w:pStyle w:val="ListParagraph"/>
        <w:spacing w:after="0" w:line="240" w:lineRule="auto"/>
        <w:rPr>
          <w:rFonts w:ascii="Arial" w:hAnsi="Arial" w:cs="Arial"/>
          <w:sz w:val="20"/>
          <w:szCs w:val="20"/>
        </w:rPr>
      </w:pPr>
    </w:p>
    <w:p w:rsidR="00AE5C66" w:rsidRPr="00AE5C66" w:rsidRDefault="00AE5C66" w:rsidP="00AE5C66">
      <w:pPr>
        <w:rPr>
          <w:rFonts w:ascii="Arial" w:hAnsi="Arial" w:cs="Arial"/>
          <w:sz w:val="20"/>
          <w:szCs w:val="20"/>
        </w:rPr>
      </w:pPr>
      <w:r w:rsidRPr="00AE5C66">
        <w:rPr>
          <w:rFonts w:ascii="Arial" w:hAnsi="Arial" w:cs="Arial"/>
          <w:sz w:val="20"/>
          <w:szCs w:val="20"/>
        </w:rPr>
        <w:t>Consent for specific use of images of people with care and support needs</w:t>
      </w:r>
    </w:p>
    <w:p w:rsidR="00AE5C66" w:rsidRPr="00AE5C66" w:rsidRDefault="00AE5C66" w:rsidP="00AE5C66">
      <w:pPr>
        <w:rPr>
          <w:rFonts w:ascii="Arial" w:hAnsi="Arial" w:cs="Arial"/>
          <w:sz w:val="20"/>
          <w:szCs w:val="20"/>
        </w:rPr>
      </w:pPr>
      <w:r w:rsidRPr="00AE5C66">
        <w:rPr>
          <w:rFonts w:ascii="Arial" w:hAnsi="Arial" w:cs="Arial"/>
          <w:sz w:val="20"/>
          <w:szCs w:val="20"/>
        </w:rPr>
        <w:t>Some organisations provide specific activities targeted at people with care and support needs. For example, dementia friendly events. If you wish to take photographs or will be filming people with care and support needs here are some additional issues to consider:</w:t>
      </w:r>
    </w:p>
    <w:p w:rsidR="00AE5C66" w:rsidRPr="00AE5C66" w:rsidRDefault="00AE5C66" w:rsidP="00AE5C66">
      <w:pPr>
        <w:pStyle w:val="ListParagraph"/>
        <w:numPr>
          <w:ilvl w:val="0"/>
          <w:numId w:val="34"/>
        </w:numPr>
        <w:spacing w:after="0" w:line="240" w:lineRule="auto"/>
        <w:rPr>
          <w:rFonts w:ascii="Arial" w:hAnsi="Arial" w:cs="Arial"/>
          <w:sz w:val="20"/>
          <w:szCs w:val="20"/>
        </w:rPr>
      </w:pPr>
      <w:r w:rsidRPr="00AE5C66">
        <w:rPr>
          <w:rFonts w:ascii="Arial" w:hAnsi="Arial" w:cs="Arial"/>
          <w:sz w:val="20"/>
          <w:szCs w:val="20"/>
        </w:rPr>
        <w:t>Adults must be able to consent to their image being used</w:t>
      </w:r>
    </w:p>
    <w:p w:rsidR="00AE5C66" w:rsidRPr="00AE5C66" w:rsidRDefault="00AE5C66" w:rsidP="00AE5C66">
      <w:pPr>
        <w:pStyle w:val="ListParagraph"/>
        <w:numPr>
          <w:ilvl w:val="0"/>
          <w:numId w:val="34"/>
        </w:numPr>
        <w:spacing w:after="0" w:line="240" w:lineRule="auto"/>
        <w:rPr>
          <w:rFonts w:ascii="Arial" w:hAnsi="Arial" w:cs="Arial"/>
          <w:sz w:val="20"/>
          <w:szCs w:val="20"/>
        </w:rPr>
      </w:pPr>
      <w:r w:rsidRPr="00AE5C66">
        <w:rPr>
          <w:rFonts w:ascii="Arial" w:hAnsi="Arial" w:cs="Arial"/>
          <w:sz w:val="20"/>
          <w:szCs w:val="20"/>
        </w:rPr>
        <w:t>Legally, the only person who can offer consent for the use of their image is the adult themselves. Family members such as adult children, parents, spouses or siblings and support workers/ personal assistants should not be approached to sign consent forms for adults</w:t>
      </w:r>
    </w:p>
    <w:p w:rsidR="00AE5C66" w:rsidRPr="00AE5C66" w:rsidRDefault="00AE5C66" w:rsidP="00AE5C66">
      <w:pPr>
        <w:pStyle w:val="ListParagraph"/>
        <w:numPr>
          <w:ilvl w:val="0"/>
          <w:numId w:val="34"/>
        </w:numPr>
        <w:spacing w:after="0" w:line="240" w:lineRule="auto"/>
        <w:rPr>
          <w:rFonts w:ascii="Arial" w:hAnsi="Arial" w:cs="Arial"/>
          <w:sz w:val="20"/>
          <w:szCs w:val="20"/>
        </w:rPr>
      </w:pPr>
      <w:r w:rsidRPr="00AE5C66">
        <w:rPr>
          <w:rFonts w:ascii="Arial" w:hAnsi="Arial" w:cs="Arial"/>
          <w:sz w:val="20"/>
          <w:szCs w:val="20"/>
        </w:rPr>
        <w:t>Information about how the images will be used should be provided to an adult in an accessible format, using for example, easy read language or pictures.</w:t>
      </w:r>
    </w:p>
    <w:p w:rsidR="00AE5C66" w:rsidRPr="00AE5C66" w:rsidRDefault="00AE5C66" w:rsidP="00AE5C66">
      <w:pPr>
        <w:pStyle w:val="ListParagraph"/>
        <w:numPr>
          <w:ilvl w:val="0"/>
          <w:numId w:val="34"/>
        </w:numPr>
        <w:spacing w:after="0" w:line="240" w:lineRule="auto"/>
        <w:rPr>
          <w:rFonts w:ascii="Arial" w:hAnsi="Arial" w:cs="Arial"/>
          <w:sz w:val="20"/>
          <w:szCs w:val="20"/>
        </w:rPr>
      </w:pPr>
      <w:r w:rsidRPr="00AE5C66">
        <w:rPr>
          <w:rFonts w:ascii="Arial" w:hAnsi="Arial" w:cs="Arial"/>
          <w:sz w:val="20"/>
          <w:szCs w:val="20"/>
        </w:rPr>
        <w:t>If you have any concerns that an adult does not have the capacity to give consent to photography or filming, or understand that photographs or films are being taken during an activity, you must discuss this with them, including if appropriate, any support person or personal assistant for the adult.</w:t>
      </w:r>
    </w:p>
    <w:p w:rsidR="00AE5C66" w:rsidRPr="00AE5C66" w:rsidRDefault="00AE5C66" w:rsidP="00AE5C66">
      <w:pPr>
        <w:pStyle w:val="ListParagraph"/>
        <w:numPr>
          <w:ilvl w:val="0"/>
          <w:numId w:val="34"/>
        </w:numPr>
        <w:spacing w:after="0" w:line="240" w:lineRule="auto"/>
        <w:rPr>
          <w:rFonts w:ascii="Arial" w:hAnsi="Arial" w:cs="Arial"/>
          <w:sz w:val="20"/>
          <w:szCs w:val="20"/>
        </w:rPr>
      </w:pPr>
      <w:r w:rsidRPr="00AE5C66">
        <w:rPr>
          <w:rFonts w:ascii="Arial" w:hAnsi="Arial" w:cs="Arial"/>
          <w:sz w:val="20"/>
          <w:szCs w:val="20"/>
        </w:rPr>
        <w:t>If after this conversation you feel that the adult still cannot give consent then do not use their photo.</w:t>
      </w:r>
    </w:p>
    <w:p w:rsidR="00AE5C66" w:rsidRPr="00AA17EB" w:rsidRDefault="00AE5C66" w:rsidP="00AE5C66">
      <w:pPr>
        <w:jc w:val="center"/>
        <w:rPr>
          <w:rFonts w:cs="Arial"/>
          <w:iCs/>
          <w:sz w:val="32"/>
        </w:rPr>
      </w:pPr>
    </w:p>
    <w:p w:rsidR="009A0516" w:rsidRPr="00863F6E" w:rsidRDefault="009A0516" w:rsidP="00863F6E"/>
    <w:sectPr w:rsidR="009A0516" w:rsidRPr="00863F6E" w:rsidSect="00772977">
      <w:headerReference w:type="default" r:id="rId7"/>
      <w:footerReference w:type="default" r:id="rId8"/>
      <w:pgSz w:w="11906" w:h="16838"/>
      <w:pgMar w:top="709" w:right="849" w:bottom="993"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66" w:rsidRDefault="00383166">
      <w:pPr>
        <w:spacing w:after="0" w:line="240" w:lineRule="auto"/>
      </w:pPr>
      <w:r>
        <w:separator/>
      </w:r>
    </w:p>
  </w:endnote>
  <w:endnote w:type="continuationSeparator" w:id="0">
    <w:p w:rsidR="00383166" w:rsidRDefault="0038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77" w:rsidRDefault="00772977" w:rsidP="00772977">
    <w:pPr>
      <w:pStyle w:val="Footer"/>
      <w:rPr>
        <w:rFonts w:ascii="Arial Unicode MS" w:eastAsia="Arial Unicode MS" w:hAnsi="Arial Unicode MS" w:cs="Arial Unicode MS"/>
        <w:color w:val="808080" w:themeColor="background1" w:themeShade="80"/>
        <w:sz w:val="16"/>
        <w:szCs w:val="16"/>
      </w:rPr>
    </w:pPr>
    <w:r w:rsidRPr="00DD11C5">
      <w:rPr>
        <w:rFonts w:ascii="Arial Unicode MS" w:eastAsia="Arial Unicode MS" w:hAnsi="Arial Unicode MS" w:cs="Arial Unicode MS"/>
        <w:noProof/>
        <w:color w:val="808080" w:themeColor="background1" w:themeShade="80"/>
        <w:sz w:val="16"/>
        <w:szCs w:val="16"/>
        <w:lang w:eastAsia="en-GB"/>
      </w:rPr>
      <w:drawing>
        <wp:anchor distT="0" distB="0" distL="114300" distR="114300" simplePos="0" relativeHeight="251659264" behindDoc="1" locked="0" layoutInCell="1" allowOverlap="1" wp14:anchorId="15698FE9" wp14:editId="0DC299D1">
          <wp:simplePos x="0" y="0"/>
          <wp:positionH relativeFrom="column">
            <wp:posOffset>5819775</wp:posOffset>
          </wp:positionH>
          <wp:positionV relativeFrom="paragraph">
            <wp:posOffset>-196215</wp:posOffset>
          </wp:positionV>
          <wp:extent cx="409575" cy="318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Logo.png"/>
                  <pic:cNvPicPr/>
                </pic:nvPicPr>
                <pic:blipFill>
                  <a:blip r:embed="rId1">
                    <a:extLst>
                      <a:ext uri="{28A0092B-C50C-407E-A947-70E740481C1C}">
                        <a14:useLocalDpi xmlns:a14="http://schemas.microsoft.com/office/drawing/2010/main" val="0"/>
                      </a:ext>
                    </a:extLst>
                  </a:blip>
                  <a:stretch>
                    <a:fillRect/>
                  </a:stretch>
                </pic:blipFill>
                <pic:spPr>
                  <a:xfrm>
                    <a:off x="0" y="0"/>
                    <a:ext cx="409575" cy="318978"/>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 xml:space="preserve"> </w:t>
    </w:r>
  </w:p>
  <w:p w:rsidR="00772977" w:rsidRPr="00DD11C5" w:rsidRDefault="00772977">
    <w:pPr>
      <w:pStyle w:val="Footer"/>
      <w:rPr>
        <w:rFonts w:ascii="Arial Unicode MS" w:eastAsia="Arial Unicode MS" w:hAnsi="Arial Unicode MS" w:cs="Arial Unicode MS"/>
        <w:color w:val="808080" w:themeColor="background1" w:themeShade="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66" w:rsidRDefault="00383166">
      <w:pPr>
        <w:spacing w:after="0" w:line="240" w:lineRule="auto"/>
      </w:pPr>
      <w:r>
        <w:separator/>
      </w:r>
    </w:p>
  </w:footnote>
  <w:footnote w:type="continuationSeparator" w:id="0">
    <w:p w:rsidR="00383166" w:rsidRDefault="0038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77" w:rsidRDefault="00772977">
    <w:pPr>
      <w:pStyle w:val="Header"/>
    </w:pPr>
    <w:r>
      <w:rPr>
        <w:noProof/>
        <w:lang w:eastAsia="en-GB"/>
      </w:rPr>
      <w:drawing>
        <wp:anchor distT="0" distB="0" distL="114300" distR="114300" simplePos="0" relativeHeight="251660288" behindDoc="1" locked="1" layoutInCell="1" allowOverlap="1" wp14:anchorId="2C09017C" wp14:editId="708ABC60">
          <wp:simplePos x="0" y="0"/>
          <wp:positionH relativeFrom="page">
            <wp:posOffset>19050</wp:posOffset>
          </wp:positionH>
          <wp:positionV relativeFrom="page">
            <wp:posOffset>19050</wp:posOffset>
          </wp:positionV>
          <wp:extent cx="7505700" cy="10677525"/>
          <wp:effectExtent l="0" t="0" r="0" b="9525"/>
          <wp:wrapNone/>
          <wp:docPr id="4" name="Picture 4"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3CF"/>
    <w:multiLevelType w:val="hybridMultilevel"/>
    <w:tmpl w:val="CFB4C158"/>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5B6"/>
    <w:multiLevelType w:val="hybridMultilevel"/>
    <w:tmpl w:val="D42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BF2"/>
    <w:multiLevelType w:val="hybridMultilevel"/>
    <w:tmpl w:val="94AE3D7E"/>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309C"/>
    <w:multiLevelType w:val="hybridMultilevel"/>
    <w:tmpl w:val="2000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2383F"/>
    <w:multiLevelType w:val="hybridMultilevel"/>
    <w:tmpl w:val="0D3C201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097A"/>
    <w:multiLevelType w:val="hybridMultilevel"/>
    <w:tmpl w:val="7C204108"/>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A29B8"/>
    <w:multiLevelType w:val="hybridMultilevel"/>
    <w:tmpl w:val="6CBC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4EBA"/>
    <w:multiLevelType w:val="hybridMultilevel"/>
    <w:tmpl w:val="973EBBA2"/>
    <w:lvl w:ilvl="0" w:tplc="08090001">
      <w:start w:val="1"/>
      <w:numFmt w:val="bullet"/>
      <w:lvlText w:val=""/>
      <w:lvlJc w:val="left"/>
      <w:pPr>
        <w:ind w:left="720" w:hanging="360"/>
      </w:pPr>
      <w:rPr>
        <w:rFonts w:ascii="Symbol" w:hAnsi="Symbol" w:hint="default"/>
      </w:rPr>
    </w:lvl>
    <w:lvl w:ilvl="1" w:tplc="D7AC5F2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55CDA"/>
    <w:multiLevelType w:val="hybridMultilevel"/>
    <w:tmpl w:val="AB28B484"/>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D24C1"/>
    <w:multiLevelType w:val="hybridMultilevel"/>
    <w:tmpl w:val="8DDC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58FF"/>
    <w:multiLevelType w:val="hybridMultilevel"/>
    <w:tmpl w:val="C90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5B9BD5"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49A3E00"/>
    <w:multiLevelType w:val="hybridMultilevel"/>
    <w:tmpl w:val="AB22CEB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37D04"/>
    <w:multiLevelType w:val="hybridMultilevel"/>
    <w:tmpl w:val="94C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A79B7"/>
    <w:multiLevelType w:val="hybridMultilevel"/>
    <w:tmpl w:val="613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83495"/>
    <w:multiLevelType w:val="hybridMultilevel"/>
    <w:tmpl w:val="CEB6B88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A3FE8"/>
    <w:multiLevelType w:val="hybridMultilevel"/>
    <w:tmpl w:val="C784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0248C"/>
    <w:multiLevelType w:val="hybridMultilevel"/>
    <w:tmpl w:val="9C6EAC0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F597F"/>
    <w:multiLevelType w:val="hybridMultilevel"/>
    <w:tmpl w:val="69B834F4"/>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2153A"/>
    <w:multiLevelType w:val="hybridMultilevel"/>
    <w:tmpl w:val="0A001CB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F5B0E"/>
    <w:multiLevelType w:val="hybridMultilevel"/>
    <w:tmpl w:val="E2C411B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5B9BD5"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4755F"/>
    <w:multiLevelType w:val="hybridMultilevel"/>
    <w:tmpl w:val="D4F08F7C"/>
    <w:lvl w:ilvl="0" w:tplc="08090001">
      <w:start w:val="1"/>
      <w:numFmt w:val="bullet"/>
      <w:lvlText w:val=""/>
      <w:lvlJc w:val="left"/>
      <w:pPr>
        <w:ind w:left="720" w:hanging="360"/>
      </w:pPr>
      <w:rPr>
        <w:rFonts w:ascii="Symbol" w:hAnsi="Symbol" w:hint="default"/>
      </w:rPr>
    </w:lvl>
    <w:lvl w:ilvl="1" w:tplc="032E7D5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85098"/>
    <w:multiLevelType w:val="hybridMultilevel"/>
    <w:tmpl w:val="4CCEDD8A"/>
    <w:lvl w:ilvl="0" w:tplc="781A1AD6">
      <w:start w:val="1"/>
      <w:numFmt w:val="bullet"/>
      <w:lvlText w:val="•"/>
      <w:lvlJc w:val="left"/>
      <w:pPr>
        <w:tabs>
          <w:tab w:val="num" w:pos="720"/>
        </w:tabs>
        <w:ind w:left="720" w:hanging="360"/>
      </w:pPr>
      <w:rPr>
        <w:rFonts w:ascii="Arial" w:hAnsi="Arial" w:hint="default"/>
      </w:rPr>
    </w:lvl>
    <w:lvl w:ilvl="1" w:tplc="D2E2CAC8" w:tentative="1">
      <w:start w:val="1"/>
      <w:numFmt w:val="bullet"/>
      <w:lvlText w:val="•"/>
      <w:lvlJc w:val="left"/>
      <w:pPr>
        <w:tabs>
          <w:tab w:val="num" w:pos="1440"/>
        </w:tabs>
        <w:ind w:left="1440" w:hanging="360"/>
      </w:pPr>
      <w:rPr>
        <w:rFonts w:ascii="Arial" w:hAnsi="Arial" w:hint="default"/>
      </w:rPr>
    </w:lvl>
    <w:lvl w:ilvl="2" w:tplc="1580184E" w:tentative="1">
      <w:start w:val="1"/>
      <w:numFmt w:val="bullet"/>
      <w:lvlText w:val="•"/>
      <w:lvlJc w:val="left"/>
      <w:pPr>
        <w:tabs>
          <w:tab w:val="num" w:pos="2160"/>
        </w:tabs>
        <w:ind w:left="2160" w:hanging="360"/>
      </w:pPr>
      <w:rPr>
        <w:rFonts w:ascii="Arial" w:hAnsi="Arial" w:hint="default"/>
      </w:rPr>
    </w:lvl>
    <w:lvl w:ilvl="3" w:tplc="E5D48A04" w:tentative="1">
      <w:start w:val="1"/>
      <w:numFmt w:val="bullet"/>
      <w:lvlText w:val="•"/>
      <w:lvlJc w:val="left"/>
      <w:pPr>
        <w:tabs>
          <w:tab w:val="num" w:pos="2880"/>
        </w:tabs>
        <w:ind w:left="2880" w:hanging="360"/>
      </w:pPr>
      <w:rPr>
        <w:rFonts w:ascii="Arial" w:hAnsi="Arial" w:hint="default"/>
      </w:rPr>
    </w:lvl>
    <w:lvl w:ilvl="4" w:tplc="4FF019FE" w:tentative="1">
      <w:start w:val="1"/>
      <w:numFmt w:val="bullet"/>
      <w:lvlText w:val="•"/>
      <w:lvlJc w:val="left"/>
      <w:pPr>
        <w:tabs>
          <w:tab w:val="num" w:pos="3600"/>
        </w:tabs>
        <w:ind w:left="3600" w:hanging="360"/>
      </w:pPr>
      <w:rPr>
        <w:rFonts w:ascii="Arial" w:hAnsi="Arial" w:hint="default"/>
      </w:rPr>
    </w:lvl>
    <w:lvl w:ilvl="5" w:tplc="AD1A2A16" w:tentative="1">
      <w:start w:val="1"/>
      <w:numFmt w:val="bullet"/>
      <w:lvlText w:val="•"/>
      <w:lvlJc w:val="left"/>
      <w:pPr>
        <w:tabs>
          <w:tab w:val="num" w:pos="4320"/>
        </w:tabs>
        <w:ind w:left="4320" w:hanging="360"/>
      </w:pPr>
      <w:rPr>
        <w:rFonts w:ascii="Arial" w:hAnsi="Arial" w:hint="default"/>
      </w:rPr>
    </w:lvl>
    <w:lvl w:ilvl="6" w:tplc="12744700" w:tentative="1">
      <w:start w:val="1"/>
      <w:numFmt w:val="bullet"/>
      <w:lvlText w:val="•"/>
      <w:lvlJc w:val="left"/>
      <w:pPr>
        <w:tabs>
          <w:tab w:val="num" w:pos="5040"/>
        </w:tabs>
        <w:ind w:left="5040" w:hanging="360"/>
      </w:pPr>
      <w:rPr>
        <w:rFonts w:ascii="Arial" w:hAnsi="Arial" w:hint="default"/>
      </w:rPr>
    </w:lvl>
    <w:lvl w:ilvl="7" w:tplc="51E0637C" w:tentative="1">
      <w:start w:val="1"/>
      <w:numFmt w:val="bullet"/>
      <w:lvlText w:val="•"/>
      <w:lvlJc w:val="left"/>
      <w:pPr>
        <w:tabs>
          <w:tab w:val="num" w:pos="5760"/>
        </w:tabs>
        <w:ind w:left="5760" w:hanging="360"/>
      </w:pPr>
      <w:rPr>
        <w:rFonts w:ascii="Arial" w:hAnsi="Arial" w:hint="default"/>
      </w:rPr>
    </w:lvl>
    <w:lvl w:ilvl="8" w:tplc="214240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DDF00D8"/>
    <w:multiLevelType w:val="hybridMultilevel"/>
    <w:tmpl w:val="31D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408C7"/>
    <w:multiLevelType w:val="hybridMultilevel"/>
    <w:tmpl w:val="DA9E6E3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E1CC4"/>
    <w:multiLevelType w:val="hybridMultilevel"/>
    <w:tmpl w:val="752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46149"/>
    <w:multiLevelType w:val="hybridMultilevel"/>
    <w:tmpl w:val="135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A6C11"/>
    <w:multiLevelType w:val="hybridMultilevel"/>
    <w:tmpl w:val="3A624B3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3"/>
  </w:num>
  <w:num w:numId="4">
    <w:abstractNumId w:val="13"/>
  </w:num>
  <w:num w:numId="5">
    <w:abstractNumId w:val="5"/>
  </w:num>
  <w:num w:numId="6">
    <w:abstractNumId w:val="27"/>
  </w:num>
  <w:num w:numId="7">
    <w:abstractNumId w:val="24"/>
  </w:num>
  <w:num w:numId="8">
    <w:abstractNumId w:val="26"/>
  </w:num>
  <w:num w:numId="9">
    <w:abstractNumId w:val="18"/>
  </w:num>
  <w:num w:numId="10">
    <w:abstractNumId w:val="28"/>
  </w:num>
  <w:num w:numId="11">
    <w:abstractNumId w:val="2"/>
  </w:num>
  <w:num w:numId="12">
    <w:abstractNumId w:val="4"/>
  </w:num>
  <w:num w:numId="13">
    <w:abstractNumId w:val="32"/>
  </w:num>
  <w:num w:numId="14">
    <w:abstractNumId w:val="9"/>
  </w:num>
  <w:num w:numId="15">
    <w:abstractNumId w:val="11"/>
  </w:num>
  <w:num w:numId="16">
    <w:abstractNumId w:val="31"/>
  </w:num>
  <w:num w:numId="17">
    <w:abstractNumId w:val="16"/>
  </w:num>
  <w:num w:numId="18">
    <w:abstractNumId w:val="15"/>
  </w:num>
  <w:num w:numId="19">
    <w:abstractNumId w:val="25"/>
  </w:num>
  <w:num w:numId="20">
    <w:abstractNumId w:val="17"/>
  </w:num>
  <w:num w:numId="21">
    <w:abstractNumId w:val="7"/>
  </w:num>
  <w:num w:numId="22">
    <w:abstractNumId w:val="30"/>
  </w:num>
  <w:num w:numId="23">
    <w:abstractNumId w:val="20"/>
  </w:num>
  <w:num w:numId="24">
    <w:abstractNumId w:val="6"/>
  </w:num>
  <w:num w:numId="25">
    <w:abstractNumId w:val="22"/>
  </w:num>
  <w:num w:numId="26">
    <w:abstractNumId w:val="3"/>
  </w:num>
  <w:num w:numId="27">
    <w:abstractNumId w:val="10"/>
  </w:num>
  <w:num w:numId="28">
    <w:abstractNumId w:val="14"/>
  </w:num>
  <w:num w:numId="29">
    <w:abstractNumId w:val="21"/>
  </w:num>
  <w:num w:numId="30">
    <w:abstractNumId w:val="33"/>
  </w:num>
  <w:num w:numId="31">
    <w:abstractNumId w:val="19"/>
  </w:num>
  <w:num w:numId="32">
    <w:abstractNumId w:val="0"/>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E"/>
    <w:rsid w:val="00002615"/>
    <w:rsid w:val="00160959"/>
    <w:rsid w:val="00276261"/>
    <w:rsid w:val="002914C1"/>
    <w:rsid w:val="002B1119"/>
    <w:rsid w:val="002C35AD"/>
    <w:rsid w:val="00383166"/>
    <w:rsid w:val="0039161F"/>
    <w:rsid w:val="003A34BD"/>
    <w:rsid w:val="003F2B30"/>
    <w:rsid w:val="00415E1E"/>
    <w:rsid w:val="00542DB2"/>
    <w:rsid w:val="005E60E0"/>
    <w:rsid w:val="005F7615"/>
    <w:rsid w:val="0070255F"/>
    <w:rsid w:val="00772977"/>
    <w:rsid w:val="007D0B84"/>
    <w:rsid w:val="007E56EB"/>
    <w:rsid w:val="00804031"/>
    <w:rsid w:val="00841C92"/>
    <w:rsid w:val="00863F6E"/>
    <w:rsid w:val="0089339A"/>
    <w:rsid w:val="00935E57"/>
    <w:rsid w:val="00962DE6"/>
    <w:rsid w:val="009A0516"/>
    <w:rsid w:val="009B5AB5"/>
    <w:rsid w:val="009B6A60"/>
    <w:rsid w:val="009F6A30"/>
    <w:rsid w:val="00A112B2"/>
    <w:rsid w:val="00A319C9"/>
    <w:rsid w:val="00A814FC"/>
    <w:rsid w:val="00AC17DB"/>
    <w:rsid w:val="00AC278E"/>
    <w:rsid w:val="00AE5C66"/>
    <w:rsid w:val="00AE77EA"/>
    <w:rsid w:val="00BD7414"/>
    <w:rsid w:val="00C27691"/>
    <w:rsid w:val="00CA1B98"/>
    <w:rsid w:val="00CB06AB"/>
    <w:rsid w:val="00D03DF1"/>
    <w:rsid w:val="00DC4654"/>
    <w:rsid w:val="00E022AE"/>
    <w:rsid w:val="00E43F22"/>
    <w:rsid w:val="00EC58D9"/>
    <w:rsid w:val="00EF7F45"/>
    <w:rsid w:val="00F40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13CA5F-67F9-49E9-A233-934E097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1E"/>
  </w:style>
  <w:style w:type="paragraph" w:styleId="Footer">
    <w:name w:val="footer"/>
    <w:basedOn w:val="Normal"/>
    <w:link w:val="FooterChar"/>
    <w:uiPriority w:val="99"/>
    <w:unhideWhenUsed/>
    <w:rsid w:val="0041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1E"/>
  </w:style>
  <w:style w:type="character" w:styleId="PlaceholderText">
    <w:name w:val="Placeholder Text"/>
    <w:basedOn w:val="DefaultParagraphFont"/>
    <w:uiPriority w:val="99"/>
    <w:semiHidden/>
    <w:rsid w:val="00415E1E"/>
    <w:rPr>
      <w:color w:val="808080"/>
    </w:rPr>
  </w:style>
  <w:style w:type="paragraph" w:styleId="ListParagraph">
    <w:name w:val="List Paragraph"/>
    <w:basedOn w:val="Normal"/>
    <w:uiPriority w:val="34"/>
    <w:qFormat/>
    <w:rsid w:val="009B6A60"/>
    <w:pPr>
      <w:ind w:left="720"/>
      <w:contextualSpacing/>
    </w:pPr>
  </w:style>
  <w:style w:type="character" w:styleId="Hyperlink">
    <w:name w:val="Hyperlink"/>
    <w:basedOn w:val="DefaultParagraphFont"/>
    <w:uiPriority w:val="99"/>
    <w:unhideWhenUsed/>
    <w:rsid w:val="009B6A60"/>
    <w:rPr>
      <w:color w:val="0563C1" w:themeColor="hyperlink"/>
      <w:u w:val="single"/>
    </w:rPr>
  </w:style>
  <w:style w:type="paragraph" w:styleId="BalloonText">
    <w:name w:val="Balloon Text"/>
    <w:basedOn w:val="Normal"/>
    <w:link w:val="BalloonTextChar"/>
    <w:uiPriority w:val="99"/>
    <w:semiHidden/>
    <w:unhideWhenUsed/>
    <w:rsid w:val="009A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Conor de Smith</cp:lastModifiedBy>
  <cp:revision>2</cp:revision>
  <cp:lastPrinted>2015-06-24T15:00:00Z</cp:lastPrinted>
  <dcterms:created xsi:type="dcterms:W3CDTF">2019-10-02T10:45:00Z</dcterms:created>
  <dcterms:modified xsi:type="dcterms:W3CDTF">2019-10-02T10:45:00Z</dcterms:modified>
</cp:coreProperties>
</file>